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3A" w:rsidRPr="00055BD5" w:rsidRDefault="007C5958" w:rsidP="00B8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D5">
        <w:rPr>
          <w:rFonts w:ascii="Times New Roman" w:hAnsi="Times New Roman" w:cs="Times New Roman"/>
          <w:b/>
          <w:sz w:val="24"/>
          <w:szCs w:val="24"/>
        </w:rPr>
        <w:t>Учебный материал практических занятий</w:t>
      </w:r>
      <w:r w:rsidR="00B82C3A" w:rsidRPr="00055BD5">
        <w:rPr>
          <w:rFonts w:ascii="Times New Roman" w:hAnsi="Times New Roman" w:cs="Times New Roman"/>
          <w:b/>
          <w:sz w:val="24"/>
          <w:szCs w:val="24"/>
        </w:rPr>
        <w:t xml:space="preserve"> по Математической грамотности</w:t>
      </w:r>
    </w:p>
    <w:p w:rsidR="00B82C3A" w:rsidRPr="00055BD5" w:rsidRDefault="00B82C3A" w:rsidP="00B8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BD5">
        <w:rPr>
          <w:rFonts w:ascii="Times New Roman" w:hAnsi="Times New Roman" w:cs="Times New Roman"/>
          <w:b/>
          <w:sz w:val="24"/>
          <w:szCs w:val="24"/>
        </w:rPr>
        <w:t>1-семестр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617"/>
        <w:gridCol w:w="2383"/>
        <w:gridCol w:w="1842"/>
      </w:tblGrid>
      <w:tr w:rsidR="007C5958" w:rsidRPr="00986100" w:rsidTr="00B2540D">
        <w:trPr>
          <w:trHeight w:val="7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 / Дни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</w:t>
            </w:r>
            <w:r w:rsidR="007C5958"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ель занятия и</w:t>
            </w:r>
          </w:p>
          <w:p w:rsidR="007C5958" w:rsidRPr="00986100" w:rsidRDefault="00C4565D" w:rsidP="00986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="007C5958"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ормируемые навыки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Методические указания</w:t>
            </w:r>
          </w:p>
        </w:tc>
      </w:tr>
      <w:tr w:rsidR="007C5958" w:rsidRPr="00986100" w:rsidTr="00B2540D">
        <w:trPr>
          <w:trHeight w:val="1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Целые числа. Натуральные числа. Обозначение натуральных чисел и их чтение. Четные, нечетные, простые и сложные числа.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Десятичная и двоичная система, условное расширенное написание чисел. Способы применения целых чисел и порядок их выполнения.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Деление чисел и их классификация. Признаки деления  на 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числа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3, 4, 5, 6, 9, 10, 11, 25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наибольший общий делитель (НОД), наименьший общий кратный (НОК). Простые дроби. Основные свойства простых дробей.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Арифметические действия над дробями. Десятичные дроби. Периодические дроби. Преобразование обыкновенной дроби в десятичную дробь.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Отношения и пропорции. Основные свойства пропорций.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Найти неизвестного члена пропорций. Проценты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0BB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4EAD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 на проценты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Приобретение умений и навыков </w:t>
            </w:r>
          </w:p>
          <w:p w:rsidR="007C5958" w:rsidRPr="00986100" w:rsidRDefault="007C5958" w:rsidP="0098610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Решения НОД и НОД</w:t>
            </w:r>
          </w:p>
          <w:p w:rsidR="007C5958" w:rsidRPr="00986100" w:rsidRDefault="007C5958" w:rsidP="0098610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Вычисления неизвестного члена пропорции</w:t>
            </w:r>
          </w:p>
          <w:p w:rsidR="007C5958" w:rsidRPr="00986100" w:rsidRDefault="007C5958" w:rsidP="0098610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Перевода простых дробей в десятичные и наоборот</w:t>
            </w:r>
          </w:p>
          <w:p w:rsidR="007C5958" w:rsidRPr="00986100" w:rsidRDefault="007C5958" w:rsidP="00986100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1" w:rsidRPr="00986100" w:rsidRDefault="00390B18" w:rsidP="0098610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Повторение п</w:t>
            </w:r>
            <w:r w:rsidR="00A64291" w:rsidRPr="00986100">
              <w:rPr>
                <w:rFonts w:ascii="Times New Roman" w:hAnsi="Times New Roman"/>
                <w:sz w:val="24"/>
                <w:szCs w:val="24"/>
                <w:lang w:val="kk-KZ"/>
              </w:rPr>
              <w:t>ризнаков на деление 2,  3, 4, 5, 6, 9, 10, 11, 25 числа.</w:t>
            </w:r>
          </w:p>
          <w:p w:rsidR="00A64291" w:rsidRPr="00986100" w:rsidRDefault="00A64291" w:rsidP="0098610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Выполнение упражнений по нахождению процентов.</w:t>
            </w:r>
          </w:p>
          <w:p w:rsidR="00A64291" w:rsidRPr="00986100" w:rsidRDefault="00A64291" w:rsidP="00986100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</w:tr>
      <w:tr w:rsidR="007C5958" w:rsidRPr="00986100" w:rsidTr="00B2540D">
        <w:trPr>
          <w:trHeight w:val="25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0" w:rsidRDefault="001B4EAD" w:rsidP="0098610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Числовая ось. Положительные и отрицательные числа. Абсолютная величина (модуль) числа</w:t>
            </w:r>
            <w:r w:rsid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абсолютной величины. Сравнение рациональных чисел (больших, малых). Действия над положительными и отрицат</w:t>
            </w:r>
            <w:r w:rsid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ельными числами.</w:t>
            </w:r>
          </w:p>
          <w:p w:rsidR="001B4EAD" w:rsidRPr="00986100" w:rsidRDefault="00986100" w:rsidP="0098610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знаков.</w:t>
            </w:r>
          </w:p>
          <w:p w:rsidR="007C5958" w:rsidRPr="00986100" w:rsidRDefault="007C5958" w:rsidP="0098610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4EAD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множества. Элементы множества. Сложение, пересечение множеств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B4EAD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Пустые множества. Степень натурального показателя. Отрицательная и нулевая степень. Способы, применяемые к одинаковым обоснованным степеням (умножение, деление). Одночлен . Многочлен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B4EAD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над одночленами и многочленами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темы степеней путем выполнения упражнений на действия, применяемые к натуральному показателю степени, отрицательной и нулевой степени, одинаковым обоснованным степеням.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390B1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 свойств абсолютной величины.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 действий, используемых для множеств.</w:t>
            </w:r>
          </w:p>
        </w:tc>
      </w:tr>
      <w:tr w:rsidR="007C5958" w:rsidRPr="00986100" w:rsidTr="00B2540D">
        <w:trPr>
          <w:trHeight w:val="17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AD" w:rsidRPr="00986100" w:rsidRDefault="001B4EAD" w:rsidP="0098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Формулы сокращенного умножения. Разложение многочленностей на множители.</w:t>
            </w:r>
          </w:p>
          <w:p w:rsidR="00C9649A" w:rsidRPr="00986100" w:rsidRDefault="001B4EAD" w:rsidP="0098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Алгебраические дроби и действия над ними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Равенство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71410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Уравнение. Корень уравнения. </w:t>
            </w:r>
            <w:r w:rsidR="00C9649A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Эквивалентные уравнения. Уравнения одного и двух неизвестных. </w:t>
            </w:r>
          </w:p>
          <w:p w:rsidR="007C5958" w:rsidRPr="00986100" w:rsidRDefault="00C9649A" w:rsidP="0098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Решение системы линейных уравнений с помощью определителей. Исследование системы.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5B42CD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Навыки выполнения упражнений на </w:t>
            </w:r>
            <w:r w:rsidR="005B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ормулы сокращенного умножения.</w:t>
            </w:r>
          </w:p>
          <w:p w:rsidR="007C5958" w:rsidRPr="00986100" w:rsidRDefault="007C5958" w:rsidP="005B42CD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Упражнение на решение систем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уравнений и уравнений.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390B1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Повторение формул сокращенного умножения.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7C5958" w:rsidRPr="00986100" w:rsidTr="00B2540D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9649A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Корни. Арифметический корень положительного числа. Определение квадратного корня с помощью алгоритма или таблицей. Понятие дробного показателя. Действия над корнями (радикалы) (сложение, вычитание, умножение, деление, возведение, отыскание корня в корне). Разложение иррациональных выражений на множители, освобождение от иррациональных выражений в знаменателе (числителе) дробного выражения.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5B42CD" w:rsidP="005B42C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полученных знаний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помощью упр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ажнений по теме корневого уровнения 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390B1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Повторение формул и правил.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7C5958" w:rsidRPr="00986100" w:rsidTr="00B2540D">
        <w:trPr>
          <w:trHeight w:val="1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9649A" w:rsidP="00986100">
            <w:pPr>
              <w:tabs>
                <w:tab w:val="left" w:pos="318"/>
              </w:tabs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формула решения квадратного уравнения. Исследование корней квадратного уравнения по дискриминанту .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95C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Теорема Виета. Разложение левой стороны квадратного уравнения на </w:t>
            </w:r>
            <w:r w:rsidR="00C63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множители. Уравнения биквадрата</w:t>
            </w:r>
            <w:r w:rsidR="00BB095C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C63C39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полученных знаний путем выведения квадратических уравнений по дискриманту и </w:t>
            </w:r>
            <w:r w:rsidR="00C63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теоремы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390B1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7C5958" w:rsidRPr="00986100" w:rsidTr="00B2540D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BB095C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Уравнения иррационала. Уравнения с абсолютными величинами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полученных знаний путем решения иррациональных уравнений и уравнений абсолютных величин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390B1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7C5958" w:rsidRPr="00986100" w:rsidTr="00B2540D">
        <w:trPr>
          <w:trHeight w:val="6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5C" w:rsidRPr="00986100" w:rsidRDefault="00BB095C" w:rsidP="00986100">
            <w:pPr>
              <w:tabs>
                <w:tab w:val="left" w:pos="318"/>
              </w:tabs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функции. Область определения и набор значений функций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прямоугольных координат. Прямая пропорциональная зависимость.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Линейная функция и ее график.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Графики функций</w:t>
            </w:r>
          </w:p>
          <w:p w:rsidR="00BB095C" w:rsidRPr="00986100" w:rsidRDefault="007C5958" w:rsidP="00415087">
            <w:pPr>
              <w:tabs>
                <w:tab w:val="left" w:pos="318"/>
              </w:tabs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5" o:title=""/>
                </v:shape>
                <o:OLEObject Type="Embed" ProgID="Equation.3" ShapeID="_x0000_i1025" DrawAspect="Content" ObjectID="_1647888768" r:id="rId6"/>
              </w:objec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86100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1100" w:dyaOrig="620">
                <v:shape id="_x0000_i1026" type="#_x0000_t75" style="width:54.75pt;height:30.75pt" o:ole="">
                  <v:imagedata r:id="rId7" o:title=""/>
                </v:shape>
                <o:OLEObject Type="Embed" ProgID="Equation.3" ShapeID="_x0000_i1026" DrawAspect="Content" ObjectID="_1647888769" r:id="rId8"/>
              </w:objec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86100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680" w:dyaOrig="360">
                <v:shape id="_x0000_i1027" type="#_x0000_t75" style="width:33.75pt;height:18pt" o:ole="">
                  <v:imagedata r:id="rId9" o:title=""/>
                </v:shape>
                <o:OLEObject Type="Embed" ProgID="Equation.3" ShapeID="_x0000_i1027" DrawAspect="Content" ObjectID="_1647888770" r:id="rId10"/>
              </w:objec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86100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240" w:dyaOrig="320">
                <v:shape id="_x0000_i1028" type="#_x0000_t75" style="width:62.25pt;height:15.75pt" o:ole="">
                  <v:imagedata r:id="rId11" o:title=""/>
                </v:shape>
                <o:OLEObject Type="Embed" ProgID="Equation.3" ShapeID="_x0000_i1028" DrawAspect="Content" ObjectID="_1647888771" r:id="rId12"/>
              </w:objec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5958" w:rsidRPr="00986100" w:rsidRDefault="007C5958" w:rsidP="00986100">
            <w:pPr>
              <w:tabs>
                <w:tab w:val="left" w:pos="318"/>
              </w:tabs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620" w:dyaOrig="360">
                <v:shape id="_x0000_i1029" type="#_x0000_t75" style="width:81pt;height:18pt" o:ole="">
                  <v:imagedata r:id="rId13" o:title=""/>
                </v:shape>
                <o:OLEObject Type="Embed" ProgID="Equation.3" ShapeID="_x0000_i1029" DrawAspect="Content" ObjectID="_1647888772" r:id="rId14"/>
              </w:objec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95C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квадратная функция и ее график.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95C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четных, нечетных, обратных функций. Определение и свойства неравенства. Действия над неравенствами. Доказательство неравенств. Решение систем линейных неравенств и неравенств первой степени</w:t>
            </w:r>
            <w:r w:rsidR="00415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Овладение свойствами функций, выполнение заданий на графические преобразования.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8" w:rsidRPr="00986100" w:rsidRDefault="00390B18" w:rsidP="0041508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Выполнение графических преобразований.</w:t>
            </w:r>
          </w:p>
          <w:p w:rsidR="007C5958" w:rsidRPr="00986100" w:rsidRDefault="00390B18" w:rsidP="00415087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C4565D" w:rsidRPr="00986100" w:rsidTr="00B2540D">
        <w:trPr>
          <w:trHeight w:val="12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5C" w:rsidRPr="00986100" w:rsidRDefault="00BB095C" w:rsidP="00415087">
            <w:pPr>
              <w:tabs>
                <w:tab w:val="left" w:pos="318"/>
              </w:tabs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неравенств с абсолютными величинами</w:t>
            </w:r>
            <w:r w:rsidR="00415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4565D" w:rsidRPr="00986100" w:rsidRDefault="00BB095C" w:rsidP="00415087">
            <w:pPr>
              <w:tabs>
                <w:tab w:val="left" w:pos="318"/>
              </w:tabs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Иррациональные неравенства и системы неравенств</w:t>
            </w:r>
            <w:r w:rsidR="00415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знаний, полученных при выполнении упражнений на уравнения и неравенства в абсолютных величинах и иррациональных уравнениях.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C4565D" w:rsidRPr="00986100" w:rsidTr="00B2540D">
        <w:trPr>
          <w:trHeight w:val="16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5C" w:rsidRPr="00986100" w:rsidRDefault="00BB095C" w:rsidP="0041508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понятия степени. Показательная функция и ее график</w:t>
            </w:r>
          </w:p>
          <w:p w:rsidR="00C4565D" w:rsidRPr="00986100" w:rsidRDefault="00BB095C" w:rsidP="0041508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логарифма. Основное логарифмическое тождество. Формула перехода от одной основы к другой</w:t>
            </w:r>
            <w:r w:rsidR="00C4565D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Логарифмирование и потенцирование выражений.</w:t>
            </w:r>
          </w:p>
          <w:p w:rsidR="00C4565D" w:rsidRPr="00986100" w:rsidRDefault="00BB095C" w:rsidP="0041508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Показательные уравнения и неравенства.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упражнений по теме закрепить полученные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C4565D" w:rsidRPr="00986100" w:rsidTr="00B2540D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BB095C" w:rsidP="00986100">
            <w:pPr>
              <w:tabs>
                <w:tab w:val="left" w:pos="318"/>
              </w:tabs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Логарифмические уравнения и неравенства. Система показательных и логарифмических уравнений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полученных знаний посредством выполнения логарифмических, показательных уравнений и неравенств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5D" w:rsidRPr="00986100" w:rsidRDefault="00C4565D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7C5958" w:rsidRPr="00986100" w:rsidTr="00B2540D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6B5DD2" w:rsidP="00986100">
            <w:pPr>
              <w:tabs>
                <w:tab w:val="left" w:pos="318"/>
              </w:tabs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Геометрические фигуры: отрезки, прямые, лучи, ломкие линии, сравнение отрезков. Углы. Сравнение углов. Виды углов: острые, , тупые, смежные и вертикальные углы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Биссектриса угла. Перпендикуляр и наклон. Параллельные прямые. Треугольник и его элементы (медиана, высота, биссектриса). Виды треугольников. Периметр.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основными фигурами планиметрии по принципу от простого к сложному.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 по теме фигур и их свойств.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Запоминать свойств геометрических фигури и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уметь использовать их при решении задач.</w:t>
            </w:r>
          </w:p>
        </w:tc>
      </w:tr>
      <w:tr w:rsidR="007C5958" w:rsidRPr="00986100" w:rsidTr="00B2540D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7" w:rsidRDefault="006B5DD2" w:rsidP="0041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Прямоугольный треугольник. Теорема Пифагор. Тригонометрические функции острого угла (синус, косинус, тангенс, котангенс).</w:t>
            </w:r>
          </w:p>
          <w:p w:rsidR="007C5958" w:rsidRPr="00986100" w:rsidRDefault="006B5DD2" w:rsidP="0041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</w:t>
            </w:r>
            <w:r w:rsidR="00415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тригонометрические тождества. Теорема синуса и косинусов. замечательные точки треугольника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B2540D" w:rsidP="00B2540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5958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решения задач с использованием свойств треугольников.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Запомнить свойства треугольников, относящиеся к ним формулы. Выполнение тестовых заданий.</w:t>
            </w:r>
          </w:p>
        </w:tc>
      </w:tr>
      <w:tr w:rsidR="007C5958" w:rsidRPr="00986100" w:rsidTr="00B2540D">
        <w:trPr>
          <w:trHeight w:val="147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6B5DD2" w:rsidP="00986100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Четырехугольники: параллелограмм, прямоугольник, ромб, квадрат. Их свойства. Трапеция. Основные элементы. Теорема Фалес. Свойства средних линий треугольника и трапеции. Площадь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четырехугольника, параллелограмма, треугольника, трапеции.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A64291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Навыки решения задач с использованием формул, свойств прямоугольников.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Запомнить свойства четырехугольников, относящиеся к ним формулы. Выполнение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тестовых заданий.</w:t>
            </w:r>
          </w:p>
        </w:tc>
      </w:tr>
      <w:tr w:rsidR="007C5958" w:rsidRPr="00986100" w:rsidTr="00B2540D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2E799C" w:rsidP="00986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 и его элементы: центр, радиус, хорда, усеченный, сегмент, сектор, касательная. Окружность описанная и вписанная в тре</w:t>
            </w:r>
            <w:r w:rsidR="00A608D7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угольник.  Окружность   описанная и вписанная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правильный многоугольник . Их периметр и площадь. Длина  и площадь круга.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A64291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решения задач с использованием формул, относящихся к кругу и окружности.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Запомнить свойства круга и окружности, относящиеся к ним формулы. Выполнение тестовых заданий.</w:t>
            </w:r>
          </w:p>
        </w:tc>
      </w:tr>
      <w:tr w:rsidR="007C5958" w:rsidRPr="00986100" w:rsidTr="00B2540D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7C5958" w:rsidP="0098610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D7" w:rsidRPr="00986100" w:rsidRDefault="00A608D7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Метрические отношения в прямоугольном треугольнике и круге.</w:t>
            </w:r>
          </w:p>
          <w:p w:rsidR="007C5958" w:rsidRPr="00986100" w:rsidRDefault="00A608D7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 Стюарта.</w:t>
            </w:r>
          </w:p>
          <w:p w:rsidR="006C3A51" w:rsidRPr="00986100" w:rsidRDefault="006C3A51" w:rsidP="009861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A64291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 относительно треугольника с использованием теоремы Стюарта.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58" w:rsidRPr="00986100" w:rsidRDefault="00C4565D" w:rsidP="00986100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</w:tbl>
    <w:p w:rsidR="007C5958" w:rsidRPr="007C5958" w:rsidRDefault="007C5958" w:rsidP="007C59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958" w:rsidRPr="007C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65AC1"/>
    <w:multiLevelType w:val="hybridMultilevel"/>
    <w:tmpl w:val="7012EDCA"/>
    <w:lvl w:ilvl="0" w:tplc="73700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58"/>
    <w:rsid w:val="00055BD5"/>
    <w:rsid w:val="001B4EAD"/>
    <w:rsid w:val="002E799C"/>
    <w:rsid w:val="00390B18"/>
    <w:rsid w:val="00415087"/>
    <w:rsid w:val="00592F66"/>
    <w:rsid w:val="005B42CD"/>
    <w:rsid w:val="006B5DD2"/>
    <w:rsid w:val="006C3A51"/>
    <w:rsid w:val="007C5958"/>
    <w:rsid w:val="00871410"/>
    <w:rsid w:val="00986100"/>
    <w:rsid w:val="00A608D7"/>
    <w:rsid w:val="00A64291"/>
    <w:rsid w:val="00B2540D"/>
    <w:rsid w:val="00B82C3A"/>
    <w:rsid w:val="00BB095C"/>
    <w:rsid w:val="00BD59EB"/>
    <w:rsid w:val="00C10174"/>
    <w:rsid w:val="00C4565D"/>
    <w:rsid w:val="00C56B91"/>
    <w:rsid w:val="00C63C39"/>
    <w:rsid w:val="00C9649A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2A8F-56C4-4B51-B00E-6ECCAE77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59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C5958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C59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2020-04-08T16:01:00Z</dcterms:created>
  <dcterms:modified xsi:type="dcterms:W3CDTF">2020-04-08T16:05:00Z</dcterms:modified>
</cp:coreProperties>
</file>